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220 vom 12. März 2025</w:t>
      </w:r>
    </w:p>
    <w:p>
      <w:r>
        <w:t>GR Gerichte, 2025-03-12, DE</w:t>
      </w:r>
    </w:p>
    <w:p>
      <w:r>
        <w:rPr>
          <w:b/>
        </w:rPr>
        <w:t xml:space="preserve">Quelle: </w:t>
      </w:r>
      <w:r>
        <w:t>https://mcp.opencaselaw.ch/entscheid/gr_gerichte_ZR1 2024 220</w:t>
      </w:r>
    </w:p>
    <w:p>
      <w:r>
        <w:t>FR: GR_GERICHTE ZR1 2024 220 du 12 mars 2025</w:t>
      </w:r>
    </w:p>
    <w:p>
      <w:r>
        <w:t>IT: GR_GERICHTE ZR1 2024 220 del 12 marzo 2025</w:t>
      </w:r>
    </w:p>
    <w:p>
      <w:pPr>
        <w:pStyle w:val="Heading2"/>
      </w:pPr>
      <w:r>
        <w:t>Regeste</w:t>
      </w:r>
    </w:p>
    <w:p>
      <w:r>
        <w:t>Aufhebung der Beistandschaft | KES Kindesschutzrecht (allgemein)</w:t>
      </w:r>
    </w:p>
    <w:p>
      <w:pPr>
        <w:pStyle w:val="Heading2"/>
      </w:pPr>
      <w:r>
        <w:t>Erwägungen</w:t>
      </w:r>
    </w:p>
    <w:p>
      <w:r>
        <w:rPr>
          <w:b/>
        </w:rPr>
        <w:t>E. 1</w:t>
      </w:r>
    </w:p>
    <w:p>
      <w:r>
        <w:t>Eintreten</w:t>
      </w:r>
    </w:p>
    <w:p>
      <w:r>
        <w:rPr>
          <w:b/>
        </w:rPr>
        <w:t>E. 1.1</w:t>
      </w:r>
    </w:p>
    <w:p>
      <w:r>
        <w:t>Gegen Entscheide der Erwachsenenschutzbehörde kann gestützt auf Art. 450 Abs. 1 ZGB beim zuständigen Gericht Beschwerde erhoben werden. Dies gilt auf auch für Entscheide in Kindesschutzverfahren (Art. 314 Abs. 1 ZGB). Das Obergericht des Kantons Graubünden ist die einzige kantonale Beschwerdeinstanz (Art. 60 Abs. 1 EGzZGB [BR 210.100]). Über Beschwerden im Erwachsenen- und Kindesschutzrecht entscheidet die Erste zivilrechtliche Kammer des Obergerichts (Art. 9 Abs. 1 lit. a OGV [BR 173.010]). Der vorliegend angefochtene Entscheid der KESB Surselva vom 22. Oktober 2024 betreffend die Aufhebung der Beistandschaft</w:t>
      </w:r>
    </w:p>
    <w:p>
      <w:r>
        <w:rPr>
          <w:b/>
        </w:rPr>
        <w:t>E. 1.2</w:t>
      </w:r>
    </w:p>
    <w:p>
      <w:r>
        <w:t>Die Beschwerde ist innert 30 Tagen seit Mitteilung des Entscheids schriftlich und begründet bei der Beschwerdeinstanz einzureichen (Art. 450b Abs. 1 i.V.m. Art. 450 Abs. 3 ZGB). Der vom 22. Oktober 2024 datierende Entscheid wurde gleichentags mitgeteilt, womit die Beschwerde vom 21. November 2024 (Datum Poststempel) fristgerecht erhoben wurde. Die Beschwerde genügt im Übrigen den formellen Vorgaben.</w:t>
      </w:r>
    </w:p>
    <w:p>
      <w:r>
        <w:rPr>
          <w:b/>
        </w:rPr>
        <w:t>E. 1.3</w:t>
      </w:r>
    </w:p>
    <w:p>
      <w:r>
        <w:t>Die Aufzählung in Art. 450 Abs. 2 Ziff. 1-3 ZGB regelt die Beschwerdebefugnis abschliessend. Zur Beschwerde legitimiert sind die am Verfahren beteiligten Personen und damit in erster Linie die von der behördlichen Massnahme unmittelbar betroffenen natürlichen Personen (Art. 450 Abs. 2 Ziff. 1 ZGB; DROESE, in: Geiser/Fountoulakis [Hrsg.], Basler Kommentar, Zivilgesetzbuch I, 7. Aufl. 2022, Art. 450 N. 26a, 29 m.H.a. Urteile des Bundesgerichts 5A_721/2019 vom 8. Mai 2020 E. 2.2, 5A_765/2015 vom 23. November 2015 E. 2.2.3). Dazu zählen im Kindesschutzverfahren neben dem Kind selbst in aller Regel auch die Eltern (Urteil des Bundesgerichts 5A_979/2013 vom 28. März 2014 E. 6). Der Vater von C._____ ist von der mit dem angefochtenen Entscheid angeordneten ersatzlosen Aufhebung der Erziehungsbeistandschaft mit besonderen Befugnissen unmittelbar betroffen und daher als Verfahrensbeteiligter im Sinne von Art. 450 Abs. 2 Ziff. 1 ZGB ohne Weiteres beschwerdelegitimiert. Auf seine Beschwerde ist einzutreten. 2. Prozessuales 2.1. Für das Verfahren vor der gerichtlichen Beschwerdeinstanz gelten primär die Art. 450 ff. ZGB. Sofern weder das ZGB noch das EGzZGB eine Regelung enthalten, kommen die Bestimmungen der ZPO sinngemäss zur Anwendung (Art. 450f ZGB). Das EGzZGB bestimmt in Art. 60 Abs. 5 EGzZGB, dass die Regelungen für die zivilprozessuale Berufung sinngemäss gelten, soweit das übergeordnete Recht nichts Anderes vorsieht. Demnach kann die Rechtsmittelinstanz gemäss Art. 316 Abs. 1 ZPO aufgrund der Akten und ohne Durchführung einer mündlichen Hauptverhandlung entscheiden. Ferner sind im Verfahren vor der gerichtlichen Beschwerdeinstanz die allgemeinen Verfahrensgrundsätze des erstinstanzlichen Verfahrens zu beachten (Art. 443 ff. ZGB), soweit das Gesetz in den Art. 450 ff. ZGB keine abweichenden Vorschriften enthält (vgl. DROESE, a.a.O., Art. 450 N. 13). Dies gilt namentlich für die in Art. 446 ZGB verankerte uneingeschränkte Untersuchungs- und Offizialmaxime und das an</w:t>
      </w:r>
    </w:p>
    <w:p>
      <w:r>
        <w:rPr>
          <w:b/>
        </w:rPr>
        <w:t>E. 6</w:t>
      </w:r>
    </w:p>
    <w:p>
      <w:r>
        <w:t>/ 22 mit besonderen Befugnissen nach Art. 308 Abs. 1 und 2 ZGB ist der Beschwerde im Sinne von Art. 450 Abs. 1 ZGB zugänglich (act. B.2).</w:t>
      </w:r>
    </w:p>
    <w:p>
      <w:r>
        <w:rPr>
          <w:b/>
        </w:rPr>
        <w:t>E. 7</w:t>
      </w:r>
    </w:p>
    <w:p>
      <w:r>
        <w:t>/ 22 gleicher Stelle festgeschriebene Prinzip der Rechtsanwendung von Amtes wegen. Der Anwendungsbereich dieser zentralen Verfahrensgrundsätze bezieht sich auf sämtliche Verfahren vor der Kindes- und Erwachsenenschutzbehörde und erstreckt sich nach dem Grundsatz der Einheit des Prozesses auch auf die Verfahren vor der gerichtlichen Beschwerdeinstanz (MARANTA, in: Geiser/Fountoulakis [Hrsg.], Basler Kommentar, Zivilgesetzbuch I, 7. Aufl. 2022, Art. 446 N. 1 f.). 2.2. Mit der Beschwerde können gemäss Art. 450a Abs. 1 ZGB Rechtsverletzungen (Ziff. 1), die unrichtige oder unvollständige Feststellung des rechtserheblichen Sachverhalts (Ziff. 2) und die Unangemessenheit (Ziff. 3) gerügt werden. Die Beschwerde ist ein vollkommenes Rechtsmittel, womit das erstinstanzliche Urteil in rechtlicher und tatsächlicher Hinsicht umfassend überprüft werden kann (vgl. Botschaft vom 28. Juni 2006 zur Änderung des Schweizerischen Zivilgesetzbuches [Erwachsenenschutz, Personenrecht und Kindesrecht], BBI 2006 7085 Ziff. 2.3.3; vgl. SCHMID, Erwachsenenschutz Kommentar, 2010, Art. 450a N. 1). Dennoch gilt das Rügeprinzip gemäss Art. 450a Abs. 1 ZGB, welches die nach Art. 446 ZGB geltende Untersuchungs- und Offizialmaxime insoweit relativiert, als eine Überprüfung des erstinstanzlichen Entscheids eine förmliche Beschwerde voraussetzt und sich die Beschwerdeinstanz infolgedessen primär auf die geltend gemachten Rügen und Anträge konzentriert (vgl. DROESE, a.a.O., Art. 450a N. 4 f.). 2.3. Der Beschwerdeführer macht generell Rechtsverletzungen, unrichtige oder unvollständige Feststellungen des rechtserheblichen Sachverhaltes sowie Unangemessenheit geltend (act. A.1, Rz. 4). 3. Streitgegenstand 3.1. Die KESB Surselva hob mit dem angefochtenen Entscheid die für C._____ geführte Erziehungsbeistandschaft mit besonderen Befugnissen nach Art. 308 Abs. 1 und 2 ZGB ersatzlos auf (act. B.2, Dispositivziffer 1). 3.2. Die Aufhebung der Massnahme begründete die KESB Surselva damit, dass C._____ offenbar etwas daran hindere, die Besuche beim Vater wahrzunehmen. Sie sei inzwischen in einem Alter, in welchem sie ohne Weiteres ihren Willen äussern und damit alleine und selbstbestimmt über den Zeitpunkt einer Kontaktnahme zu ihrem Vater bestimmen könne. Eine zwangsweise Durchsetzung des festgesetzten Besuchsrechts sei vorliegend mit dem Kindeswohl nicht vereinbar, zumal aus Gründen des Persönlichkeitssschutzes kein körperlicher oder psychischer Zwang angewendet werden dürfe. Weitere Unternehmungen zu</w:t>
      </w:r>
    </w:p>
    <w:p>
      <w:r>
        <w:rPr>
          <w:b/>
        </w:rPr>
        <w:t>E. 7.1</w:t>
      </w:r>
    </w:p>
    <w:p>
      <w:r>
        <w:t>Gerichtskosten</w:t>
      </w:r>
    </w:p>
    <w:p>
      <w:r>
        <w:rPr>
          <w:b/>
        </w:rPr>
        <w:t>E. 7.1.1</w:t>
      </w:r>
    </w:p>
    <w:p>
      <w:r>
        <w:t>Für die vorliegende Angelegenheit wird die Entscheidgebühr in Anwendung von Art. 10 Abs. 1 VGZ (BR 320.210) auf CHF 1'500.00 festgelegt. Die Prozesskosten werden der unterliegenden Partei auferlegt (Art. 450f ZGB und Art. 60 Abs. 5 EGzZGB i.V.m. Art. 106 Abs. 1 ZPO). Wenn keine Partei vollständig obsiegt, werden die Prozesskosten nach dem Ausgang des Verfahrens verteilt (Art. 106 Abs. 2 ZPO).</w:t>
      </w:r>
    </w:p>
    <w:p>
      <w:r>
        <w:rPr>
          <w:b/>
        </w:rPr>
        <w:t>E. 7.1.2</w:t>
      </w:r>
    </w:p>
    <w:p>
      <w:r>
        <w:t>Vorliegend kann nicht von einem überwiegenden Obsiegen des Beschwerdeführers oder der Beschwerdegegnerin ausgegangen werden. Zwar wird die Beschwerde insoweit gutgeheissen, als die am 21. November 2023 angeordnete Erziehungsbeistandschaft nicht aufgehoben und die Angelegenheit zur Vervollständigung des Sachverhalts an die KESB Surselva zurückgewiesen wird. Der Beschwerdeführer dringt somit mit seinem Eventualantrag, nicht aber mit seinen weiteren Anträgen zur Anpassung der Beistandschaft und Anordnung von begleiteten Besuchen und zur Erteilung von Weisungen durch. Bei diesem Verfahrensausgang ist es gerechtfertigt, die Gerichtskosten des vorliegenden Beschwerdeverfahrens dem Beschwerdeführer und der Beschwerdegegnerin je hälftig aufzuerlegen. Die Gerichtskosten werden mit dem vom Beschwerdeführer geleisteten Kostenvorschuss verrechnet (aArt. 111 Abs. 1 ZPO, Art. 407f ZPO e contrario). Die Beschwerdegegnerin hat dem Beschwerdeführer den von ihm</w:t>
      </w:r>
    </w:p>
    <w:p>
      <w:r>
        <w:rPr>
          <w:b/>
        </w:rPr>
        <w:t>E. 7.2</w:t>
      </w:r>
    </w:p>
    <w:p>
      <w:r>
        <w:t>Parteientschädigung Bei diesem Ausgang des Verfahrens ist nicht von einem überwiegenden Obsiegen des Beschwerdeführers auszugehen, welches die Zusprechung einer Parteientschädigung zu Lasten der Beschwerdegegnerin rechtfertigen würde. Von der Zusprechung einer Parteientschädigung ist daher abzusehen.</w:t>
      </w:r>
    </w:p>
    <w:p>
      <w:r>
        <w:rPr>
          <w:b/>
        </w:rPr>
        <w:t>E. 8</w:t>
      </w:r>
    </w:p>
    <w:p>
      <w:r>
        <w:t>/ 22 starten, um C._____ zu motivieren, ihren Vater zu kontaktieren und persönlich zu treffen, würde einem unangemessenen Druck gleichkommen. C._____ brauche Zeit und diese Zeit sei ihr im Lichte des Kindeswohls zu gewähren. Eine weitere behördliche Intervention sei dem Kindeswohl kaum zuträglich. Es bestehe nämlich die Gefahr, dadurch bei C._____ psychologisch etwas in Gang zu bringen, was ihre Persönlichkeitsentwicklung negativ beeinflussen könnte. Die Aufhebung der Beistandschaft erachtete die KESB Surselva aus diesen Gründen als verhältnismässig (act. B.2, Ziff. II.1). 3.3. Der Beschwerdeführer hält fest, dass die Modalitäten des persönlichen Verkehrs zwischen ihm und seiner Tochter gerichtlich geregelt und seit spätestens Ende 2019 rechtskräftig und vollstreckbar seien. Seither habe er sein Besuchsrecht allerdings lediglich einige wenige Male ausüben können, letztmals am 8. Februar 2020, als seine Tochter knapp vierjährig gewesen sei. Demnächst werde sie das neunte Altersjahr vollenden. Somit habe er seine Tochter bereits mehr als deren halbes Leben nicht gesehen und überhaupt keine persönliche Beziehung zu ihr aufbauen können. Trotzdem habe er sich in den vergangenen Jahren durchaus einsichtig und kooperativ verhalten. Dass ihm seitens des Beistandes Uneinsichtigkeit, unkooperatives Verhalten sowie Beratungsresistenz vorgeworfen werde, sei nur eine Reaktion darauf, dass der Beschwerdeführer dem Beistand gegenüber – insbesondere in jüngerer Zeit – berechtigterweise seine Unzufriedenheit mit der Situation und sein damit begründetes Misstrauen zum Ausdruck gebracht habe. Es sei absolut nicht akzeptabel, dass die Errichtung der Besuchsrechtsbeistandschaft und die bisherigen Bemühungen der KESB Surselva und des ernannten Beistandes G._____ bislang nicht ansatzweise gefruchtet hätten und der Beschwerdeführer seine Tochter seit bald fünf Jahren nicht mehr besuchen bzw. zu sich auf Besuch nehmen könne – ohne dass ihm irgendein konkreter, inhaltlich auch zutreffender Vorwurf einer Gefährdung des Kindeswohls gemacht werden könnte (act. A.1, Rz. 35, 45). 3.4. Eltern, denen die elterliche Sorge oder Obhut nicht zusteht und das minderjährige Kind haben gestützt auf Art. 273 Abs. 1 ZGB gegenseitig Anspruch auf angemessenen persönlichen Verkehr. Das Recht auf persönlichen Verkehr ist nicht nur verfassungsmässig durch das Grundrecht auf Privat- und Familienleben geschützt (Art. 13 Abs. 1 BV). Es ist auch vom Schutzbereich des Rechts auf Achtung des Privat- und Familienlebens gemäss Art. 8 EMRK erfasst. Auf internationaler Ebene sieht Art. 9 Abs. 3 des für die Schweiz bindenden Übereinkommens über die Rechte des Kindes vom 20. November 1989 (Kinderrechtskonvention, KRK; SR 0.107) explizit vor, dass die Vertragsstaaten das</w:t>
      </w:r>
    </w:p>
    <w:p>
      <w:r>
        <w:rPr>
          <w:b/>
        </w:rPr>
        <w:t>E. 9</w:t>
      </w:r>
    </w:p>
    <w:p>
      <w:r>
        <w:t>/ 22 Recht des Kindes achten, das von einem oder beiden Elternteilen getrennt ist, regelmässige persönliche Beziehungen und unmittelbare Kontakte zu beiden Elternteilen zu pflegen, soweit dies nicht dem Wohl des Kindes widerspricht (SCHWENZER/COTTIER, in: Geiser/Fountoulakis [Hrsg.], Basler Kommentar, Zivilgesetzbuch I, 7. Aufl. 2022, Art. 273 N. 1). Beim Anspruch auf persönlichen Verkehr handelt es sich um ein gegenseitiges Pflichtrecht, das in erster Linie dem Interesse des Kindes dient (vgl. BGE 122 III 404 E. 3a, 120 II 229 E. 3b/aa je m.w.H.). Das Bundesgericht betont in konstanter Rechtsprechung, dass das Kindeswohl oberste Richtschnur für die Ausgestaltung des persönlichen Verkehrs bildet (vgl. BGE 131 III 209 E. 5, 130 III 585 E. 2.1). Das Gericht hat sich deshalb in erster Linie an den Bedürfnissen des Kindes zu orientieren; die Interessen der Eltern haben hinter dem vorrangig massgebenden Kindeswohl zurückzutreten (BGE 130 III 585 E. 2.1 m.w.H.). 3.5. Erfordern es die Verhältnisse, so ernennt die Kindesschutzbehörde dem Kind einen Beistand, der die Eltern in ihrer Sorge um das Kind mit Rat und Tat unterstützt (Art. 308 Abs. 1 ZGB). Sie kann dem Beistand besondere Befugnisse übertragen, namentlich die Überwachung des persönlichen Verkehrs (Art. 308 Abs. 2 ZGB). Das Kreisgericht D._____ errichtete mit Entscheid vom 28. März 2018 eine Besuchsbeistandschaft im Sinne von Art. 308 Abs. 1 und 2 ZGB und umschrieb als anordnende Behörde das Mandat folgendermassen: Der Beistand soll das Besuchs- und Ferienrecht überwachen, zwischen den Eltern vermitteln, sie bei der Umsetzung des Besuchs- und Ferienrechts unterstützen und ihnen mit Rat und Tat zur Seite stehen. Insbesondere soll der Beistand auch überwachen, dass C._____ die zugesprochenen Kontakte betreffend Übernachtungen, Ferien und Feiertage beim Vater ermöglicht werden. Der Beistand hat die Befugnis, den Eltern Weisungen zu erteilen (Entscheid des Kreisgerichts D._____ VV.2017.10-WS2ZE-NSC vom 28. März 2018, act. B.3, Dispositivziffer 4 und E. 18.1). Diese Dispositivziffer des erstinstanzlichen Entscheids wurde im Zuge des Berufungsverfahrens vom Kantonsgericht E._____ mit Entscheid vom 16. Dezember 2019 bestätigt und erwuchs unangefochten in Rechtskraft (siehe act. B.4, Dispositivziffer 2). Der Beschwerdeführer wurde berechtigt und verpflichtet, C._____ ab Erlass des Entscheids an jedem Kalenderwochenende von Freitagabend, 18.00 Uhr, bis Sonntagabend, 18.00 Uhr, zu sich auf Besuch zu nehmen (act. B.4, Dispositivziffer 3). Die Ferien und Feiertagsregelung des erstinstanzlichen Entscheids wurde bestätigt (act. B.4, Dispositivziffer 2). Diese Regelung des persönlichen Verkehrs hat nach wie vor Geltung (act. A.1, Rz. 14), was die Beschwerdegegnerin auch nicht bestreitet (act. A.3). Im vorliegenden Streit stellt sich daher nicht die Frage nach der Rechtmässigkeit eines Ausschlusses oder</w:t>
      </w:r>
    </w:p>
    <w:p>
      <w:r>
        <w:rPr>
          <w:b/>
        </w:rPr>
        <w:t>E. 10</w:t>
      </w:r>
    </w:p>
    <w:p>
      <w:r>
        <w:t>/ 22 einer Beschränkung des Besuchsrechts im Sinne von Art. 274 Abs. 2 ZGB. Vielmehr geht es um die Vollstreckung eines gerichtlich festgelegten Rechts auf persönlichen Verkehr. 3.6. Wurde der persönliche Verkehr in einem gerichtlichen Verfahren geregelt, obliegt die Vollstreckungsverfügung dem Gericht. Das Besuchsrecht darf die körperliche, seelische und sittliche Entfaltung des Kindes nicht bedrohen, weshalb auf die direkte Realvollstreckung nach heutiger Auffassung jedenfalls bei urteilsfähigen Kindern zu verzichten ist. Der Vollstreckungsrichter kann auf entsprechendes Gesuch hin die indirekte Zwangsvollstreckung gegenüber dem Obhutsinhaber anordnen (Art. 338 Abs. 1 ZPO, Androhung der Ungehorsamsstrafe nach Art. 292 StGB oder von Ordnungsbussen nach Art. 343 Abs. 1 lit. b und c ZPO; vgl. BGE 107 II 301 E. 5; vgl. ferner Urteile des Bundesgerichts 5A_167/2017 vom 11. September 2017 E. 6.1, 5A_764/2013 vom 20. Januar 2014 E. 2.1). Ungenügende Vollstreckungsmassnahmen können eine Verletzung von Art. 8 EMRK darstellen (vgl. etwa Urteil des EGMR Kuppinger gegen Deutschland vom</w:t>
      </w:r>
    </w:p>
    <w:p>
      <w:r>
        <w:rPr>
          <w:b/>
        </w:rPr>
        <w:t>E. 15</w:t>
      </w:r>
    </w:p>
    <w:p>
      <w:r>
        <w:t>/ 22 auf Video aufgezeichnet werden (vgl. Urteil des Bundesgerichts 5A_88/2015 vom 5. Juni 2015 E. 3.3.1 m.H., bei dem vom Beschwerdeführer angeführten Urteil 5A_831/2018 vom 23. Juli 2019 geschah die Kindesanhörung im Zuge der Erstellung eines Gutachtens). Die Eltern werden über die für den Entscheid wesentlichen, im Protokoll der Anhörung festgehaltenen Ergebnisse informiert. Sie haben Anspruch auf Einsicht in das Protokoll (Art. 314a Abs. 2 ZGB). Dem Kind ist diese Zusammenfassung vorab bekannt zu geben und zu erläutern. Es darf Teile der Anhörung als vertraulich bezeichnen (MARANTA, a.a.O., Art. 314a N. 10). Aus dem das Protokoll enthaltende und um Beobachtungen sowie summarische Überlegungen ergänzten Bericht zur Anhörung ergeht, dass die Psychotherapeutin diese Vorgaben umgesetzt hat. Die wesentlichen Ergebnisse der Kindesanhörung sind sodann in Ziffer III des Berichts festgehalten (KESB-act. 1). Generell lässt der Bericht zur Kindesanhörung an keiner Stelle den Eindruck aufkommen, dass die Anhörung in irgend einer Art und Weise unprofessionell oder nicht den gesetzlichen Vorgaben entsprechend durchgeführt worden wäre. Die vom Beschwerdeführer diesbezüglich vorgebrachte Kritik erweist sich demzufolge als haltlos (act. A.1, Rz. 41). Anzumerken bleibt, dass der Inhalt des Protokolls von C._____ genehmigt wurde (KESB-act. 1, Ziff. II). Im Sinne eines Zwischenfazits kann festgehalten werden, dass keinerlei Hinweise auf eine formell mangelhafte Durchführung der Kindesanhörung hindeuten, es sich auch nicht etwa nur um eine unilateral erstellte Aktennotiz, sondern um ein Protokoll der Anhörung im Sinne von Art. 314a Abs. 2 ZGB handelt, dem voller Beweiswert zukommt. 5.6. Das Schwellenalter, ab dem eine Anhörung grundsätzlich in Frage kommt, ist zu unterscheiden von der kinderpsychologischen Erkenntnis, dass formallogische Denkoperationen erst ab ungefähr elf bis dreizehn Jahren möglich sind und auch die sprachliche Differenzierungs- und Abstraktionsfähigkeit erst ab diesem Alter entwickelt ist (vgl. etwa Urteil des Bundesgerichts 5A_775/2016 vom</w:t>
      </w:r>
    </w:p>
    <w:p>
      <w:r>
        <w:rPr>
          <w:b/>
        </w:rPr>
        <w:t>E. 17</w:t>
      </w:r>
    </w:p>
    <w:p>
      <w:r>
        <w:t>/ 22 Kindesanhörung mit bereits einige Zeit zurückliegenden negativen Erlebnissen im Zusammenhang mit der Ausbübung des Besuchsrechts (siehe E. 5.2, oben). Weiter vermochte C._____ ihre Ablehnung gegenüber ihrem Vater aber nicht zu begründen, was angesichts ihres Kindesalters nachvollziehbar ist. Für das Bestehen eines Loyalitätskonflikts gibt es in den Akten keinerlei konkrete Hinweise. Da bei C._____ (noch) nicht davon ausgegangen werden kann, dass sie zur autonomen Willensbildung fähig ist, kann nicht kategorisch ausgeschlossen werden, dass erstens ein Loyalitätskonflikt besteht und dieser zweitens derart manifestiert ist, dass er mit ein Grund für die gänzliche Ablehnung des Beschwerdeführers bildet. Bei einer ersatzlosen Aufhebung der Beistandschaft wäre daher zu erwarten, dass sich das autoritativ festgelegte Besuchsrecht als faktisch nicht durchsetzbar erweist und der Kontakt von C._____ zu ihrem Vater künftig vollends unterbleibt. Der Entscheid zur ersatzlosen Aufhebung der Beistandschaft könnte daher folgenschwer sein: Eine vollständige Negierung des Vaters und Eliminierung desselben aus der Lebenswirklichkeit kann mittel- oder langfristig negative Konsequenzen für die psychische Entwicklung von C._____ haben (vgl. Urteil des Bundesgerichts 5A_831/2018 vom 23. Juli 2019 E. 6.3). Das Wohl des Kindes ist denn auch nicht nur aus seiner subjektiven Sicht mit Blick auf sein momentanes Befinden zu beurteilen, sondern auch objektiv und mit Blick auf seine künftige Entwicklung (vgl. BÜCHLER/ENZ, Der persönliche Verkehr unter besonderer Berücksichtigung des Kindeswillens, FamPra.ch 2018 S. 927). Die von C._____ geäusserten Gefühle hinsichtlich der Kontakte zu ihrem Vater sind ernst zu nehmen. Das Ergebnis der Kindesanhörung als subjektive Komponente ist also durchaus gewichtig und lässt die Hypothese zu, dass C._____ zum Beschwerdeführer derzeit keinerlei Kontakte will und behördliche Bestrebungen zur Herstellung eines Kontakts dementsprechend das Kindeswohl gefährden könnten. Durchgeführt wurde die Kindesanhörung im Vorfeld zum Entscheid über die Anpassung der Besuchsrechtsbeistandschaft am 21. November 2023. Für den mehr als ein Jahr später am 22. Oktober 2024 getroffenen Entscheid hatte dieses Beweismittel nicht mehr denselben Wert. Die KESB Surselva hat es dennoch dabei bewenden lassen, einzig gestützt darauf eine Hypothese aufzustellen. Das ist zu korrigieren. Weil die Gründe für den Willen von C._____ nicht näher beleuchtet wurden, kann nämlich nicht mit hinreichender Gewissheit beurteilt werden, ob weitere Anstrengungen zur Kontaktanbahnung auch objektiv gesehen die Entwicklung von C._____ mittel- und langfristig positiv oder negativ beeinflussen. Der Sachverhalt erweist sich in dieser Hinsicht als unvollständig, die Entscheidungsgrundlage als ungenügend. Dem Bestehen einer (auch nur minimalen) Beziehung zu beiden Elternteilen misst die Rechtsprechung eine grosse Bedeutung bei. Ein ungerechtfertigt verfrühter Abbruch – C._____ ist gerade einmal</w:t>
      </w:r>
    </w:p>
    <w:p>
      <w:r>
        <w:rPr>
          <w:b/>
        </w:rPr>
        <w:t>E. 18</w:t>
      </w:r>
    </w:p>
    <w:p>
      <w:r>
        <w:t>/ 22 acht Jahre alt – der Bemühungen zur Wiederherstellung eines Kontakts zu ihrem Vater wäre daher nicht vertretbar. Den Ursprung des von C._____ geäusserten Willens kann nur eine psychologische Fachperson zutreffend ergründen und einordnen. Die Kindesanhörung liegt nun bereits mehr als eineinhalb Jahre zurück. Angesichts der Signifikanz des Entscheides über die Fortsetzung der behördlichen Bemühungen zur Wahrung oder Herstellung eines Kontakts zwischen Vater und Tochter ist es angezeigt, den Sachverhalt mit einer fachlich fundierten Abklärung, sprich mit einem fachpsychologischen Gutachten, zu vervollständigen. Weil im vorliegenden Fall der Grund für den mehrere Jahre andauernden Kontaktabbruch nicht bekannt ist, sämtliche Versuche des Beistands zur Kontaktanbahnung erfolglos geblieben sind und mithin auch der Verdacht von böswilligen Beziehungsstörungen abzuklären sein wird, muss der begutachtenden Fachperson die Möglichkeit zu einem interventionsorientierten Vorgehen eingeräumt werden, damit diese bereits im Rahmen der Begutachtung die Lage von C._____ kindeswohldienlich verändern kann (zum Unterschied zwischen dem entscheidungs- und interventionsorientierten Gutachten vgl. STAUB, Interventionsorientierte Gutachten als Handlungsalternative bei hochkonfliktigen Trennungs-/Scheidungsfamilien, in: ZKE 2010, S. 34 ff.). 5.10. Die KESB hielt im angefochtenen Entscheid fest, die vorgenommene Anpassung der Beistandschaft zwecks Aufrechterhaltung von Erinnerungskontakten habe keine positive Veränderung gezeigt. Wohl habe der Beistand einzelne Informationen über die Lebenssituation von C._____ gesammelt und dem Vater übermittelt. Weitergehende Kontakte habe C._____ aber weiterhin klar abgelehnt, was wiederum auf der Seite des Vaters auf Unverständnis stosse und Enttäuschung sowie Resignation aufkommen lasse. Der Vater würde seinen Antrag auf Weiterführung der Beistandschaft auf den Vorwurf stützen, die Beistandsperson und die Mutter würden C._____ manipulieren. Diese Vorwürfe vermöge er nicht substanziell zu begründen und auf den ihm vorgeworfenen Kooperationsmangel gehe er nicht ein. Eine auch nur ansatzweise zweckdienlich geführte Beistandschaft sei kaum mehr möglich. Eine Weiterführung der Massnahme sei nicht zielführend, aus der Sicht von C._____ unverhältnismässig und nicht im Sinne des Kindeswohls (act. B.2, Ziff. II.1). Aus Sicht des Kindeswohls spricht jedoch nichts gegen eine Beibehaltung der Beistandschaft zur weiteren Gewährleistung des Informationsflusses zwischen den Eltern und einer Realisierung von allenfalls spontan doch noch aufkommenden Kontaktwünschen von C._____. Nicht sinnvoll ist es allerdings zum jetzigen Zeitpunkt – jedenfalls bis über die Gründe für C._____ Haltung mehr bekannt ist –, die Bemühungen für die Entstehung der Bereitschaft zu Erinnerungskontakten fortzusetzen. Die jüngeren im</w:t>
      </w:r>
    </w:p>
    <w:p>
      <w:r>
        <w:rPr>
          <w:b/>
        </w:rPr>
        <w:t>E. 19</w:t>
      </w:r>
    </w:p>
    <w:p>
      <w:r>
        <w:t>/ 22 Recht liegenden Korrespondenzen zwischen dem Beschwerdeführer und dem Beistand lassen nämlich befürchten, dass Handlungen oder vermeintliche Unterlassungen des Beistandes im Zusammenhang mit letztgenannter Aufgabe zum Streitthema zu werden drohen (vgl. KESB-act. 11, 18 und auch oben, E. 3.3). Damit wäre dem Wohl von C._____ freilich nicht gedient. Da die Beistandschaft gemäss Art. 308 Abs. 1 und 2 ZGB nicht ersatzlos aufgehoben wird, hat die KESB Surselva daher den mit Entscheid vom 21. November 2023 festgelegten Aufgabenkatalog auf die heutigen Umstände anzupassen. 5.11.1. Soweit der Beschwerdeführer den Hauptantrag stellt, es sei anstelle von G._____ eine andere geeignete Fachperson als Beistandsperson zu bezeichnen, ist was folgt festzuhalten: Mit der Aufhebung des angefochtenen Entscheids ist der Beistand G._____ – da der Beschwerde aufschiebende Wirkung zukam – weiterhin im Amt. Die Bestellung eines anderen Beistandes rechtfertigt sich nicht. Der Beschwerdeführer hat sich denn auch lediglich kurz dahingehend geäussert, dass die Abberufung bereits mit dem Antrag von G._____ vom 9. Juli 2024 und dem von ihm erfolgen Abbruch der Kindesschutzmassnahme der begleiteten Besuchsrechtstage genügend begründet sei (act. A.1, Ziff. 56). Dem kann nicht gefolgt werden. Abgesehen davon, dass der Beschwerdeführer vor der KESB Surselva gar nicht einen Wechsel der Beistandsperson beantragt hat (ein entsprechender Antrag war jedoch Gegenstand des vor Kantonsgericht geführten Beschwerdeverfahrens ZK1 20 169) – sondern trotz Kritik die KESB Surselva gebeten hat, dass der Beistand sein Amt weiterführe (vgl. KESB-act. 15), bestehen auch keine Gründe für eine entsprechende Anordnung durch das Obergericht. 5.11.2. Die KESB entlässt gemäss Art. 423 ZGB einen Beistand, wenn die Eignung für die Aufgaben nicht mehr besteht (Abs. 1 Ziff. 1) oder ein anderer wichtiger Grund für die Entlassung vorliegt (Abs. 1 Ziff. 2). Die Entlassung kann von der betroffenen oder einer ihr nahestehenden Person beantragt werden (Abs. 2). Soweit das Gesetz auf den wichtigen Grund verweist, hat die Behörde ihre Entscheidung im konkreten Fall nach Recht und Billigkeit zu treffen (Art. 4 ZGB). Sie verfügt dabei über grosses Ermessen. Bei der Entlassung der Beistandsperson aus wichtigem Grund stehen die Interessen der betroffenen Person im Vordergrund (Urteil des Bundesgerichts 5A_469/2018 vom 14. Dezember 2018 E. 2 mit Verweis auf BGE 143 III 65 E. 6.1). Aus den Akten ist nicht ersichtlich, inwiefern dem Beistand G._____ die Eignung für die Erfüllung seiner Aufgaben fehlen oder ein anderer wichtiger Grund – insbesondere das Kindeswohl – für seine Entlassung durch die KESB gemäss Art. 423 Abs. 1 ZGB bestehen würde. Allein der Umstand, dass der Beistand am 9. Juli 2024 aufgrund von Schwierigkeiten im Umgang mit</w:t>
      </w:r>
    </w:p>
    <w:p>
      <w:r>
        <w:rPr>
          <w:b/>
        </w:rPr>
        <w:t>E. 20</w:t>
      </w:r>
    </w:p>
    <w:p>
      <w:r>
        <w:t>/ 22 dem Vater einen Antrag gestellt hat, reicht dafür nicht aus. Aus diesem Grund erweist sich die Beschwerde, soweit sie in Ziff. 1 der Rechtsbegehren einen Mandatswechsel beinhaltet, als unbegründet und ist abzuweisen. 6. Fazit Als begründet erweist sich die vom Beschwerdeführer geltend gemachte Rüge einer unvollständigen Feststellung des Sachverhaltes. In teilweiser Gutheissung der Beschwerde ist dem Eventualantrag des Beschwerdeführers stattzugeben und der angefochtene Entscheid vollumfänglich aufzuheben. Die Angelegenheit ist zur Vervollständigung des Sachverhalts sowie zu neuem Entscheid im Sinne der vorstehenden Ausführungen an die KESB Surselva zurückzuweisen. Somit hat die KESB Surselva die mit Entscheid vom 21. November 2023 errichtete Erziehungsbeistandschaft mit besonderen Befugnissen bis auf Weiteres fortzuführen. 7. Kosten des Beschwerdeverfahrens</w:t>
      </w:r>
    </w:p>
    <w:p>
      <w:r>
        <w:rPr>
          <w:b/>
        </w:rPr>
        <w:t>E. 21</w:t>
      </w:r>
    </w:p>
    <w:p>
      <w:r>
        <w:t>/ 22 geleisteten Kostenvorschuss im Umfang ihres Kostenanteils von CHF 750.00 zu ersetzen (aArt. 111 Abs. 2 ZPO, Art. 407f ZPO e contrario).</w:t>
      </w:r>
    </w:p>
    <w:p>
      <w:r>
        <w:rPr>
          <w:b/>
        </w:rPr>
        <w:t>E. 22</w:t>
      </w:r>
    </w:p>
    <w:p>
      <w:r>
        <w:t>/ 22 Es wird erkannt: 1. Die Beschwerde wird teilweise gutgeheissen und der angefochtene Entscheid der Kindes- und Erwachsenenschutzbehörde Graubünden, Zweigstelle Surselva, vom 22. Oktober 2024 wird aufgehoben. Die Angelegenheit wird zur Vervollständigung des Sachverhalts im Sinne der vorstehenden Erwägungen und neuem Entscheid an die KESB Surselva zurückgewiesen. 2. Im Übrigen wird die Beschwerde abgewiesen. 3. Die Gerichtskosten werden auf CHF 1'500.00 (Entscheidgebühr) festgelegt und gehen je zur Hälfte, somit CHF 750.00, zu Lasten von A._____ und B._____. Die Gerichtskosten werden mit dem von A._____ geleisteten Kostenvorschuss in der Höhe von CHF 1'500.00 verrechnet. B._____ hat A._____ den Kostenvorschuss im Umfang von CHF 750.00 zu ersetzen. 4. Es werden keine Parteientschädigungen zugesprochen. 5. [Rechtsmittelbelehrung]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